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29DF480D" w14:textId="77777777" w:rsidR="001926CE" w:rsidRDefault="001926CE" w:rsidP="000B01A4">
      <w:pPr>
        <w:spacing w:after="0"/>
      </w:pPr>
    </w:p>
    <w:p w14:paraId="007881C2" w14:textId="75DBE37A" w:rsidR="000B01A4" w:rsidRPr="000F4321" w:rsidRDefault="001926CE" w:rsidP="000F4321">
      <w:pPr>
        <w:spacing w:after="0"/>
        <w:ind w:left="720"/>
        <w:rPr>
          <w:i/>
          <w:color w:val="0070C0"/>
        </w:rPr>
      </w:pPr>
      <w:r w:rsidRPr="000F4321">
        <w:rPr>
          <w:i/>
          <w:color w:val="0070C0"/>
        </w:rPr>
        <w:t>Law Enforcement Working Group</w:t>
      </w:r>
    </w:p>
    <w:p w14:paraId="403A0A8A" w14:textId="77777777" w:rsidR="000B01A4" w:rsidRPr="003110FB" w:rsidRDefault="000B01A4" w:rsidP="000B01A4">
      <w:pPr>
        <w:pStyle w:val="ListParagraph"/>
        <w:spacing w:after="0"/>
      </w:pPr>
    </w:p>
    <w:p w14:paraId="0DB32DFC" w14:textId="142AAB3B" w:rsidR="007746E2" w:rsidRPr="003110FB" w:rsidRDefault="00DC4C91" w:rsidP="007A4A8C">
      <w:pPr>
        <w:pStyle w:val="ListParagraph"/>
        <w:numPr>
          <w:ilvl w:val="0"/>
          <w:numId w:val="1"/>
        </w:numPr>
        <w:spacing w:after="0"/>
      </w:pPr>
      <w:r>
        <w:t>Individual s</w:t>
      </w:r>
      <w:r w:rsidR="007746E2" w:rsidRPr="003110FB">
        <w:t xml:space="preserve">ponsor(s): </w:t>
      </w:r>
    </w:p>
    <w:p w14:paraId="506387A6" w14:textId="77777777" w:rsidR="001926CE" w:rsidRDefault="001926CE" w:rsidP="000B01A4">
      <w:pPr>
        <w:spacing w:after="0"/>
      </w:pPr>
    </w:p>
    <w:p w14:paraId="2DF7D040" w14:textId="2A422029" w:rsidR="000B01A4" w:rsidRPr="000F4321" w:rsidRDefault="001926CE" w:rsidP="000F4321">
      <w:pPr>
        <w:spacing w:after="0"/>
        <w:ind w:left="720"/>
        <w:rPr>
          <w:i/>
          <w:color w:val="0070C0"/>
        </w:rPr>
      </w:pPr>
      <w:r w:rsidRPr="000F4321">
        <w:rPr>
          <w:i/>
          <w:color w:val="0070C0"/>
        </w:rPr>
        <w:t>Pamela Del</w:t>
      </w:r>
      <w:r w:rsidR="00ED29B4" w:rsidRPr="000F4321">
        <w:rPr>
          <w:i/>
          <w:color w:val="0070C0"/>
        </w:rPr>
        <w:t xml:space="preserve"> </w:t>
      </w:r>
      <w:r w:rsidRPr="000F4321">
        <w:rPr>
          <w:i/>
          <w:color w:val="0070C0"/>
        </w:rPr>
        <w:t>Porto, Inspector General/PREA Coordinator, NDOC</w:t>
      </w:r>
    </w:p>
    <w:p w14:paraId="4B0D1821" w14:textId="52ED6FD3" w:rsidR="001926CE" w:rsidRPr="000F4321" w:rsidRDefault="001926CE" w:rsidP="000F4321">
      <w:pPr>
        <w:spacing w:after="0"/>
        <w:ind w:left="720"/>
        <w:rPr>
          <w:i/>
          <w:color w:val="0070C0"/>
        </w:rPr>
      </w:pPr>
      <w:r w:rsidRPr="000F4321">
        <w:rPr>
          <w:i/>
          <w:color w:val="0070C0"/>
        </w:rPr>
        <w:t xml:space="preserve">Mike Allen, Sheriff, Humboldt County </w:t>
      </w:r>
    </w:p>
    <w:p w14:paraId="16FCE777" w14:textId="77777777" w:rsidR="000B01A4" w:rsidRPr="003110FB" w:rsidRDefault="000B01A4" w:rsidP="000B01A4">
      <w:pPr>
        <w:spacing w:after="0"/>
      </w:pPr>
    </w:p>
    <w:p w14:paraId="7F488D41" w14:textId="7095E274" w:rsidR="000B01A4" w:rsidRPr="003110FB" w:rsidRDefault="00DC4C91" w:rsidP="000B01A4">
      <w:pPr>
        <w:pStyle w:val="ListParagraph"/>
        <w:numPr>
          <w:ilvl w:val="0"/>
          <w:numId w:val="1"/>
        </w:numPr>
        <w:spacing w:after="0"/>
      </w:pPr>
      <w:r>
        <w:t>Describe the r</w:t>
      </w:r>
      <w:r w:rsidR="000B01A4" w:rsidRPr="003110FB">
        <w:t>ecommendation:</w:t>
      </w:r>
    </w:p>
    <w:p w14:paraId="4F115471" w14:textId="77777777" w:rsidR="001926CE" w:rsidRDefault="001926CE" w:rsidP="00E9081E">
      <w:pPr>
        <w:spacing w:after="0"/>
      </w:pPr>
    </w:p>
    <w:p w14:paraId="609EE21B" w14:textId="77777777" w:rsidR="00C62260" w:rsidRPr="009B69DB" w:rsidRDefault="001926CE" w:rsidP="009B69DB">
      <w:pPr>
        <w:spacing w:after="0"/>
        <w:ind w:left="720"/>
        <w:jc w:val="both"/>
        <w:rPr>
          <w:i/>
          <w:color w:val="0070C0"/>
        </w:rPr>
      </w:pPr>
      <w:r w:rsidRPr="009B69DB">
        <w:rPr>
          <w:i/>
          <w:color w:val="0070C0"/>
        </w:rPr>
        <w:t>This r</w:t>
      </w:r>
      <w:r w:rsidR="00CC6499" w:rsidRPr="009B69DB">
        <w:rPr>
          <w:i/>
          <w:color w:val="0070C0"/>
        </w:rPr>
        <w:t xml:space="preserve">ecommendation seeks to continue the prohibition of possession of </w:t>
      </w:r>
      <w:r w:rsidRPr="009B69DB">
        <w:rPr>
          <w:i/>
          <w:color w:val="0070C0"/>
        </w:rPr>
        <w:t>marijuana</w:t>
      </w:r>
      <w:r w:rsidR="00CC6499" w:rsidRPr="009B69DB">
        <w:rPr>
          <w:i/>
          <w:color w:val="0070C0"/>
        </w:rPr>
        <w:t xml:space="preserve"> or marijuana product</w:t>
      </w:r>
      <w:r w:rsidR="00ED29B4" w:rsidRPr="009B69DB">
        <w:rPr>
          <w:i/>
          <w:color w:val="0070C0"/>
        </w:rPr>
        <w:t>s</w:t>
      </w:r>
      <w:r w:rsidR="00CC6499" w:rsidRPr="009B69DB">
        <w:rPr>
          <w:i/>
          <w:color w:val="0070C0"/>
        </w:rPr>
        <w:t xml:space="preserve"> and other controlled substances by a prisoner confined in an institution of the Department of Corrections under NRS 212.160, Subsection 3</w:t>
      </w:r>
      <w:r w:rsidR="00C62260" w:rsidRPr="009B69DB">
        <w:rPr>
          <w:i/>
          <w:color w:val="0070C0"/>
        </w:rPr>
        <w:t>.</w:t>
      </w:r>
    </w:p>
    <w:p w14:paraId="3DE8468D" w14:textId="77777777" w:rsidR="00C62260" w:rsidRPr="009B69DB" w:rsidRDefault="00C62260" w:rsidP="009B69DB">
      <w:pPr>
        <w:spacing w:after="0"/>
        <w:ind w:left="720"/>
        <w:jc w:val="both"/>
        <w:rPr>
          <w:i/>
          <w:color w:val="0070C0"/>
        </w:rPr>
      </w:pPr>
    </w:p>
    <w:p w14:paraId="4FF8907F" w14:textId="6F7F6914" w:rsidR="00ED29B4" w:rsidRPr="009B69DB" w:rsidRDefault="00C62260" w:rsidP="009B69DB">
      <w:pPr>
        <w:spacing w:after="0"/>
        <w:ind w:left="720"/>
        <w:jc w:val="both"/>
        <w:rPr>
          <w:i/>
          <w:color w:val="0070C0"/>
        </w:rPr>
      </w:pPr>
      <w:r w:rsidRPr="009B69DB">
        <w:rPr>
          <w:i/>
          <w:color w:val="0070C0"/>
        </w:rPr>
        <w:t xml:space="preserve">This recommendation </w:t>
      </w:r>
      <w:r w:rsidR="00CC6499" w:rsidRPr="009B69DB">
        <w:rPr>
          <w:i/>
          <w:color w:val="0070C0"/>
        </w:rPr>
        <w:t xml:space="preserve">also seeks to clarify that in accordance with NRS 208.075, wherein a “Prison” is defined as meaning any place designated by law for the keeping of persons held in custody under process of law, or under lawful arrest, </w:t>
      </w:r>
      <w:r w:rsidRPr="009B69DB">
        <w:rPr>
          <w:i/>
          <w:color w:val="0070C0"/>
        </w:rPr>
        <w:t xml:space="preserve">and NRS 208.085, wherein a “Prisoner” includes any person held in custody under process of law, or under lawful arrest, </w:t>
      </w:r>
      <w:r w:rsidR="00CC6499" w:rsidRPr="009B69DB">
        <w:rPr>
          <w:i/>
          <w:color w:val="0070C0"/>
        </w:rPr>
        <w:t>that NRS 212.160 Subsection 3 also appl</w:t>
      </w:r>
      <w:r w:rsidRPr="009B69DB">
        <w:rPr>
          <w:i/>
          <w:color w:val="0070C0"/>
        </w:rPr>
        <w:t>ies</w:t>
      </w:r>
      <w:r w:rsidR="00CC6499" w:rsidRPr="009B69DB">
        <w:rPr>
          <w:i/>
          <w:color w:val="0070C0"/>
        </w:rPr>
        <w:t xml:space="preserve"> to any local, county or city jail or detention center.  </w:t>
      </w:r>
    </w:p>
    <w:p w14:paraId="57E58727" w14:textId="77777777" w:rsidR="00ED29B4" w:rsidRPr="009B69DB" w:rsidRDefault="00ED29B4" w:rsidP="009B69DB">
      <w:pPr>
        <w:spacing w:after="0"/>
        <w:ind w:left="720"/>
        <w:jc w:val="both"/>
        <w:rPr>
          <w:i/>
          <w:color w:val="0070C0"/>
        </w:rPr>
      </w:pPr>
    </w:p>
    <w:p w14:paraId="2F9AC679" w14:textId="0C7E2163" w:rsidR="00CC6499" w:rsidRPr="009B69DB" w:rsidRDefault="00CC6499" w:rsidP="009B69DB">
      <w:pPr>
        <w:spacing w:after="0"/>
        <w:ind w:left="720"/>
        <w:jc w:val="both"/>
        <w:rPr>
          <w:i/>
          <w:color w:val="0070C0"/>
        </w:rPr>
      </w:pPr>
      <w:r w:rsidRPr="009B69DB">
        <w:rPr>
          <w:i/>
          <w:color w:val="0070C0"/>
        </w:rPr>
        <w:t xml:space="preserve">Additionally, this recommendation </w:t>
      </w:r>
      <w:r w:rsidR="00E0507D" w:rsidRPr="009B69DB">
        <w:rPr>
          <w:i/>
          <w:color w:val="0070C0"/>
        </w:rPr>
        <w:t xml:space="preserve">seeks to adopt a provision to NRS 212.160 Subsection </w:t>
      </w:r>
      <w:r w:rsidR="00453B35" w:rsidRPr="009B69DB">
        <w:rPr>
          <w:i/>
          <w:color w:val="0070C0"/>
        </w:rPr>
        <w:t>3</w:t>
      </w:r>
      <w:r w:rsidR="00E0507D" w:rsidRPr="009B69DB">
        <w:rPr>
          <w:i/>
          <w:color w:val="0070C0"/>
        </w:rPr>
        <w:t xml:space="preserve"> (</w:t>
      </w:r>
      <w:r w:rsidR="00453B35" w:rsidRPr="009B69DB">
        <w:rPr>
          <w:i/>
          <w:color w:val="0070C0"/>
        </w:rPr>
        <w:t>a</w:t>
      </w:r>
      <w:r w:rsidR="00E0507D" w:rsidRPr="009B69DB">
        <w:rPr>
          <w:i/>
          <w:color w:val="0070C0"/>
        </w:rPr>
        <w:t>), adding language that possession of marijuana paraphernalia by a person in correctional centers is prohibited by law.  This provision should also apply to any local, county or city jail or detention center.</w:t>
      </w:r>
    </w:p>
    <w:p w14:paraId="05A1E14C" w14:textId="77777777" w:rsidR="00E72274" w:rsidRPr="009B69DB" w:rsidRDefault="00E72274" w:rsidP="009B69DB">
      <w:pPr>
        <w:pStyle w:val="ListParagraph"/>
        <w:spacing w:after="0"/>
        <w:jc w:val="both"/>
        <w:rPr>
          <w:i/>
          <w:color w:val="0070C0"/>
        </w:rPr>
      </w:pPr>
    </w:p>
    <w:p w14:paraId="2E4CD62F" w14:textId="5355B7F8" w:rsidR="00E72274" w:rsidRPr="009B69DB" w:rsidRDefault="00E72274" w:rsidP="009B69DB">
      <w:pPr>
        <w:pStyle w:val="ListParagraph"/>
        <w:spacing w:after="0"/>
        <w:jc w:val="both"/>
        <w:rPr>
          <w:i/>
          <w:color w:val="0070C0"/>
        </w:rPr>
      </w:pPr>
      <w:r w:rsidRPr="009B69DB">
        <w:rPr>
          <w:i/>
          <w:color w:val="0070C0"/>
        </w:rPr>
        <w:t xml:space="preserve">This recommendation seeks to amend the language of NRS 212.160, Subsection </w:t>
      </w:r>
      <w:r w:rsidR="00453B35" w:rsidRPr="009B69DB">
        <w:rPr>
          <w:i/>
          <w:color w:val="0070C0"/>
        </w:rPr>
        <w:t>1</w:t>
      </w:r>
      <w:r w:rsidRPr="009B69DB">
        <w:rPr>
          <w:i/>
          <w:color w:val="0070C0"/>
        </w:rPr>
        <w:t xml:space="preserve"> (a) in order to clearly articulate and apply the statutory authority to “Prisoners” held in custody under process of law, or under lawful arrest in local, city or county jails or detention centers.</w:t>
      </w:r>
    </w:p>
    <w:p w14:paraId="75B14183" w14:textId="77777777" w:rsidR="00E72274" w:rsidRPr="003110FB" w:rsidRDefault="00E72274" w:rsidP="00E72274">
      <w:pPr>
        <w:pStyle w:val="ListParagraph"/>
        <w:spacing w:after="0"/>
        <w:ind w:left="0"/>
      </w:pPr>
    </w:p>
    <w:p w14:paraId="425E2003" w14:textId="2FCD5F2E"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14:paraId="2FFEFA58" w14:textId="77777777" w:rsidR="00E9081E" w:rsidRPr="003110FB" w:rsidRDefault="00E9081E" w:rsidP="00E9081E">
      <w:pPr>
        <w:spacing w:after="0"/>
      </w:pPr>
    </w:p>
    <w:p w14:paraId="63D6C0FB" w14:textId="502DD45B" w:rsidR="00E9081E" w:rsidRPr="009B69DB" w:rsidRDefault="00ED29B4" w:rsidP="009B69DB">
      <w:pPr>
        <w:spacing w:after="0"/>
        <w:ind w:left="720"/>
        <w:jc w:val="both"/>
        <w:rPr>
          <w:i/>
          <w:color w:val="0070C0"/>
        </w:rPr>
      </w:pPr>
      <w:r w:rsidRPr="009B69DB">
        <w:rPr>
          <w:i/>
          <w:color w:val="0070C0"/>
        </w:rPr>
        <w:t>Guiding Principle 1 – Promote the health, safety and well-being of Nevada’s communities.</w:t>
      </w:r>
    </w:p>
    <w:p w14:paraId="40B6542C" w14:textId="77777777" w:rsidR="00E9081E" w:rsidRPr="009B69DB" w:rsidRDefault="00E9081E" w:rsidP="009B69DB">
      <w:pPr>
        <w:spacing w:after="0"/>
        <w:ind w:left="720"/>
        <w:jc w:val="both"/>
        <w:rPr>
          <w:i/>
          <w:color w:val="0070C0"/>
        </w:rPr>
      </w:pPr>
    </w:p>
    <w:p w14:paraId="2DC7E08C" w14:textId="6B6C8684" w:rsidR="00E9081E" w:rsidRPr="009B69DB" w:rsidRDefault="00ED29B4" w:rsidP="009B69DB">
      <w:pPr>
        <w:spacing w:after="0"/>
        <w:ind w:left="720"/>
        <w:jc w:val="both"/>
        <w:rPr>
          <w:i/>
          <w:color w:val="0070C0"/>
        </w:rPr>
      </w:pPr>
      <w:r w:rsidRPr="009B69DB">
        <w:rPr>
          <w:i/>
          <w:color w:val="0070C0"/>
        </w:rPr>
        <w:t>Guiding Principle 2 – Be responsive to the needs and issues of consumers, non-consumers, local governments and the industry.</w:t>
      </w:r>
    </w:p>
    <w:p w14:paraId="1C03FEB2" w14:textId="77777777" w:rsidR="00ED29B4" w:rsidRPr="009B69DB" w:rsidRDefault="00ED29B4" w:rsidP="009B69DB">
      <w:pPr>
        <w:spacing w:after="0"/>
        <w:ind w:left="720"/>
        <w:jc w:val="both"/>
        <w:rPr>
          <w:i/>
          <w:color w:val="0070C0"/>
        </w:rPr>
      </w:pPr>
    </w:p>
    <w:p w14:paraId="446B0333" w14:textId="104D4731" w:rsidR="00ED29B4" w:rsidRPr="009B69DB" w:rsidRDefault="00ED29B4" w:rsidP="009B69DB">
      <w:pPr>
        <w:spacing w:after="0"/>
        <w:ind w:left="720"/>
        <w:jc w:val="both"/>
        <w:rPr>
          <w:i/>
          <w:color w:val="0070C0"/>
        </w:rPr>
      </w:pPr>
      <w:r w:rsidRPr="009B69DB">
        <w:rPr>
          <w:i/>
          <w:color w:val="0070C0"/>
        </w:rPr>
        <w:t>Guiding Principle 4 – Propose efficient and effective regulation that is clear and reasonable and not unduly burdensome.</w:t>
      </w:r>
    </w:p>
    <w:p w14:paraId="0F998B8B" w14:textId="77777777" w:rsidR="00E72274" w:rsidRPr="009B69DB" w:rsidRDefault="00E72274" w:rsidP="009B69DB">
      <w:pPr>
        <w:spacing w:after="0"/>
        <w:ind w:left="720"/>
        <w:jc w:val="both"/>
        <w:rPr>
          <w:i/>
          <w:color w:val="0070C0"/>
        </w:rPr>
      </w:pPr>
    </w:p>
    <w:p w14:paraId="108AFB83" w14:textId="785048D6" w:rsidR="00E72274" w:rsidRPr="009B69DB" w:rsidRDefault="00E72274" w:rsidP="009B69DB">
      <w:pPr>
        <w:spacing w:after="0"/>
        <w:ind w:left="720"/>
        <w:jc w:val="both"/>
        <w:rPr>
          <w:i/>
          <w:color w:val="0070C0"/>
        </w:rPr>
      </w:pPr>
      <w:r w:rsidRPr="009B69DB">
        <w:rPr>
          <w:i/>
          <w:color w:val="0070C0"/>
        </w:rPr>
        <w:t>Guiding Principle 6 – Establish regulations that are clear and practical, so that interactions between law enforcement (at the local, state and federal levels), consumers, and licensees are predictable and understandable.</w:t>
      </w:r>
    </w:p>
    <w:p w14:paraId="4F227787" w14:textId="77777777" w:rsidR="00E72274" w:rsidRPr="003110FB" w:rsidRDefault="00E72274" w:rsidP="00E9081E">
      <w:pPr>
        <w:spacing w:after="0"/>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Pr="003110FB" w:rsidRDefault="00E9081E" w:rsidP="00E9081E">
      <w:pPr>
        <w:pStyle w:val="ListParagraph"/>
        <w:spacing w:after="0"/>
      </w:pPr>
    </w:p>
    <w:p w14:paraId="4B61E723" w14:textId="141132D3" w:rsidR="00E9081E" w:rsidRPr="009B69DB" w:rsidRDefault="004C3008" w:rsidP="009B69DB">
      <w:pPr>
        <w:pStyle w:val="ListParagraph"/>
        <w:spacing w:after="0"/>
        <w:jc w:val="both"/>
        <w:rPr>
          <w:i/>
          <w:color w:val="0070C0"/>
        </w:rPr>
      </w:pPr>
      <w:r w:rsidRPr="009B69DB">
        <w:rPr>
          <w:i/>
          <w:color w:val="0070C0"/>
        </w:rPr>
        <w:t>This recommendation applies to Question 2, Section 4, Subsection (c);</w:t>
      </w:r>
    </w:p>
    <w:p w14:paraId="3F4F9EA1" w14:textId="3166F8F8" w:rsidR="00E9081E" w:rsidRPr="009B69DB" w:rsidRDefault="004C3008" w:rsidP="009B69DB">
      <w:pPr>
        <w:pStyle w:val="ListParagraph"/>
        <w:spacing w:after="0"/>
        <w:jc w:val="both"/>
        <w:rPr>
          <w:i/>
          <w:color w:val="0070C0"/>
        </w:rPr>
      </w:pPr>
      <w:r w:rsidRPr="009B69DB">
        <w:rPr>
          <w:i/>
          <w:color w:val="0070C0"/>
        </w:rPr>
        <w:t>Possession or use of marijuana or marijuana paraphernalia on the grounds of or within any facility or institution under the jurisdiction of the Nevada Department of Corrections.</w:t>
      </w:r>
      <w:r w:rsidR="00195F51" w:rsidRPr="009B69DB">
        <w:rPr>
          <w:i/>
          <w:color w:val="0070C0"/>
        </w:rPr>
        <w:t xml:space="preserve">  </w:t>
      </w:r>
    </w:p>
    <w:p w14:paraId="6C85577C" w14:textId="77777777" w:rsidR="00E9081E" w:rsidRPr="003110FB" w:rsidRDefault="00E9081E" w:rsidP="00E9081E">
      <w:pPr>
        <w:pStyle w:val="ListParagraph"/>
        <w:spacing w:after="0"/>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5C6BCCA4" w14:textId="77777777" w:rsidR="001B0ADC" w:rsidRPr="003110FB" w:rsidRDefault="001B0ADC" w:rsidP="001B0ADC">
      <w:pPr>
        <w:spacing w:after="0"/>
      </w:pPr>
    </w:p>
    <w:p w14:paraId="0E34D219" w14:textId="425D9AAC" w:rsidR="00195F51" w:rsidRPr="009B69DB" w:rsidRDefault="00195F51" w:rsidP="009B69DB">
      <w:pPr>
        <w:pStyle w:val="ListParagraph"/>
        <w:spacing w:after="0"/>
        <w:jc w:val="both"/>
        <w:rPr>
          <w:i/>
          <w:color w:val="0070C0"/>
        </w:rPr>
      </w:pPr>
      <w:r w:rsidRPr="009B69DB">
        <w:rPr>
          <w:i/>
          <w:color w:val="0070C0"/>
        </w:rPr>
        <w:t xml:space="preserve">This recommendation will serve to continue to prohibit the use of controlled substance by a confined person in a state correctional facility.  </w:t>
      </w:r>
      <w:r w:rsidR="004B2E16" w:rsidRPr="009B69DB">
        <w:rPr>
          <w:i/>
          <w:color w:val="0070C0"/>
        </w:rPr>
        <w:t xml:space="preserve">It will also provide a prohibition for possession of marijuana paraphernalia by a confined person in a state correctional facility.  </w:t>
      </w:r>
      <w:r w:rsidRPr="009B69DB">
        <w:rPr>
          <w:i/>
          <w:color w:val="0070C0"/>
        </w:rPr>
        <w:t>Additionally</w:t>
      </w:r>
      <w:r w:rsidR="004B2E16" w:rsidRPr="009B69DB">
        <w:rPr>
          <w:i/>
          <w:color w:val="0070C0"/>
        </w:rPr>
        <w:t xml:space="preserve"> though</w:t>
      </w:r>
      <w:r w:rsidRPr="009B69DB">
        <w:rPr>
          <w:i/>
          <w:color w:val="0070C0"/>
        </w:rPr>
        <w:t xml:space="preserve">, it will </w:t>
      </w:r>
      <w:r w:rsidR="00956E01" w:rsidRPr="009B69DB">
        <w:rPr>
          <w:i/>
          <w:color w:val="0070C0"/>
        </w:rPr>
        <w:t>provide for an opportunity to apply the prohibition</w:t>
      </w:r>
      <w:r w:rsidR="002D4A60" w:rsidRPr="009B69DB">
        <w:rPr>
          <w:i/>
          <w:color w:val="0070C0"/>
        </w:rPr>
        <w:t>s, outlined above, to any person who is lawfully confined in any city, local, county jail or detention center.</w:t>
      </w:r>
      <w:r w:rsidR="00956E01" w:rsidRPr="009B69DB">
        <w:rPr>
          <w:i/>
          <w:color w:val="0070C0"/>
        </w:rPr>
        <w:t xml:space="preserve"> </w:t>
      </w:r>
    </w:p>
    <w:p w14:paraId="7ABEA5B8" w14:textId="77777777" w:rsidR="001B0ADC" w:rsidRPr="003110FB" w:rsidRDefault="001B0ADC" w:rsidP="001B0ADC">
      <w:pPr>
        <w:spacing w:after="0"/>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77777777" w:rsidR="00E9081E" w:rsidRPr="003110FB" w:rsidRDefault="00E9081E" w:rsidP="00E9081E">
      <w:pPr>
        <w:spacing w:after="0"/>
      </w:pPr>
    </w:p>
    <w:p w14:paraId="695679BB" w14:textId="6FB16BD6" w:rsidR="00E9081E" w:rsidRPr="009B69DB" w:rsidRDefault="009B69DB" w:rsidP="009B69DB">
      <w:pPr>
        <w:spacing w:after="0"/>
        <w:ind w:left="720"/>
        <w:rPr>
          <w:i/>
          <w:color w:val="0070C0"/>
        </w:rPr>
      </w:pPr>
      <w:r w:rsidRPr="009B69DB">
        <w:rPr>
          <w:i/>
          <w:color w:val="0070C0"/>
        </w:rPr>
        <w:t>No dissent</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725CD4F6" w14:textId="0482F4C5" w:rsidR="00E9081E" w:rsidRPr="009B69DB" w:rsidRDefault="00AB6C2D" w:rsidP="009B69DB">
      <w:pPr>
        <w:pStyle w:val="ListParagraph"/>
        <w:spacing w:after="0"/>
        <w:jc w:val="both"/>
        <w:rPr>
          <w:i/>
          <w:color w:val="0070C0"/>
        </w:rPr>
      </w:pPr>
      <w:r w:rsidRPr="009B69DB">
        <w:rPr>
          <w:i/>
          <w:color w:val="0070C0"/>
        </w:rPr>
        <w:t>This recommendation will require Legislative approval for amendment to existing statutory authority.</w:t>
      </w:r>
    </w:p>
    <w:p w14:paraId="6E62C578" w14:textId="77777777" w:rsidR="00E9081E" w:rsidRPr="003110FB" w:rsidRDefault="00E9081E" w:rsidP="00E9081E">
      <w:pPr>
        <w:pStyle w:val="ListParagraph"/>
        <w:spacing w:after="0"/>
      </w:pPr>
    </w:p>
    <w:p w14:paraId="1EC95596" w14:textId="7858F08D"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6BBB2368" w14:textId="77777777" w:rsidR="00753FA6" w:rsidRDefault="00753FA6" w:rsidP="007A4A8C">
      <w:pPr>
        <w:spacing w:after="0"/>
      </w:pPr>
    </w:p>
    <w:p w14:paraId="00DE5C65" w14:textId="6D8B4084" w:rsidR="00AB6C2D" w:rsidRPr="009B69DB" w:rsidRDefault="00AB6C2D" w:rsidP="009B69DB">
      <w:pPr>
        <w:spacing w:after="0"/>
        <w:ind w:left="720"/>
        <w:rPr>
          <w:i/>
          <w:color w:val="0070C0"/>
        </w:rPr>
      </w:pPr>
      <w:r w:rsidRPr="009B69DB">
        <w:rPr>
          <w:i/>
          <w:color w:val="0070C0"/>
        </w:rPr>
        <w:t>To be determined, but no fiscal impact predicted.</w:t>
      </w:r>
    </w:p>
    <w:p w14:paraId="071157DF" w14:textId="77777777" w:rsidR="00CC30A8" w:rsidRPr="003110FB" w:rsidRDefault="00CC30A8" w:rsidP="007A4A8C">
      <w:pPr>
        <w:spacing w:after="0"/>
      </w:pPr>
    </w:p>
    <w:p w14:paraId="054A4F76" w14:textId="2EF4DF24" w:rsidR="00753FA6" w:rsidRPr="00753FA6" w:rsidRDefault="00753FA6" w:rsidP="009201F4">
      <w:pPr>
        <w:spacing w:after="0"/>
        <w:ind w:left="810" w:hanging="90"/>
        <w:rPr>
          <w:b/>
          <w:sz w:val="18"/>
          <w:szCs w:val="18"/>
        </w:rPr>
      </w:pPr>
      <w:bookmarkStart w:id="0" w:name="_GoBack"/>
      <w:bookmarkEnd w:id="0"/>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0F6F" w14:textId="77777777" w:rsidR="008D5094" w:rsidRDefault="008D5094" w:rsidP="00391997">
      <w:pPr>
        <w:spacing w:after="0" w:line="240" w:lineRule="auto"/>
      </w:pPr>
      <w:r>
        <w:separator/>
      </w:r>
    </w:p>
  </w:endnote>
  <w:endnote w:type="continuationSeparator" w:id="0">
    <w:p w14:paraId="35DDD960" w14:textId="77777777" w:rsidR="008D5094" w:rsidRDefault="008D5094"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254279C4"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0F4321">
      <w:rPr>
        <w:rFonts w:ascii="Calibri" w:eastAsia="Times New Roman" w:hAnsi="Calibri" w:cs="Times New Roman"/>
        <w:b/>
        <w:i/>
        <w:color w:val="3737A5"/>
        <w:sz w:val="16"/>
        <w:szCs w:val="16"/>
      </w:rPr>
      <w:t>Marijuana in Correcti</w:t>
    </w:r>
    <w:r w:rsidR="009B69DB">
      <w:rPr>
        <w:rFonts w:ascii="Calibri" w:eastAsia="Times New Roman" w:hAnsi="Calibri" w:cs="Times New Roman"/>
        <w:b/>
        <w:i/>
        <w:color w:val="3737A5"/>
        <w:sz w:val="16"/>
        <w:szCs w:val="16"/>
      </w:rPr>
      <w:t>onal Facilities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0F4321">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75F76" w14:textId="77777777" w:rsidR="008D5094" w:rsidRDefault="008D5094" w:rsidP="00391997">
      <w:pPr>
        <w:spacing w:after="0" w:line="240" w:lineRule="auto"/>
      </w:pPr>
      <w:r>
        <w:separator/>
      </w:r>
    </w:p>
  </w:footnote>
  <w:footnote w:type="continuationSeparator" w:id="0">
    <w:p w14:paraId="4BA5EE8B" w14:textId="77777777" w:rsidR="008D5094" w:rsidRDefault="008D5094"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632E86C7" w:rsidR="00F43822" w:rsidRPr="00F43822" w:rsidRDefault="000F4321" w:rsidP="008313F9">
    <w:pPr>
      <w:pStyle w:val="Heading2"/>
      <w:ind w:left="0"/>
      <w:jc w:val="center"/>
      <w:rPr>
        <w:sz w:val="22"/>
        <w:szCs w:val="22"/>
      </w:rPr>
    </w:pPr>
    <w:r>
      <w:rPr>
        <w:sz w:val="22"/>
        <w:szCs w:val="22"/>
      </w:rPr>
      <w:t>Marijuana in Correctional Facilities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0F4321"/>
    <w:rsid w:val="00114EF2"/>
    <w:rsid w:val="001866F9"/>
    <w:rsid w:val="001926CE"/>
    <w:rsid w:val="00195F51"/>
    <w:rsid w:val="001B0ADC"/>
    <w:rsid w:val="001B10FF"/>
    <w:rsid w:val="001B7D2D"/>
    <w:rsid w:val="00202E4C"/>
    <w:rsid w:val="0023729A"/>
    <w:rsid w:val="002D4A60"/>
    <w:rsid w:val="003110FB"/>
    <w:rsid w:val="00391997"/>
    <w:rsid w:val="003A2249"/>
    <w:rsid w:val="004039AB"/>
    <w:rsid w:val="00435662"/>
    <w:rsid w:val="00442A3F"/>
    <w:rsid w:val="00453B35"/>
    <w:rsid w:val="004B2E16"/>
    <w:rsid w:val="004C3008"/>
    <w:rsid w:val="00565923"/>
    <w:rsid w:val="005E102D"/>
    <w:rsid w:val="00675839"/>
    <w:rsid w:val="006B0A7E"/>
    <w:rsid w:val="006D4662"/>
    <w:rsid w:val="00700DCA"/>
    <w:rsid w:val="00753FA6"/>
    <w:rsid w:val="007746E2"/>
    <w:rsid w:val="00774894"/>
    <w:rsid w:val="007765FD"/>
    <w:rsid w:val="007A4A8C"/>
    <w:rsid w:val="008313F9"/>
    <w:rsid w:val="00873870"/>
    <w:rsid w:val="00882EE9"/>
    <w:rsid w:val="008D5094"/>
    <w:rsid w:val="008F0634"/>
    <w:rsid w:val="009201F4"/>
    <w:rsid w:val="009264B2"/>
    <w:rsid w:val="00956E01"/>
    <w:rsid w:val="00957E83"/>
    <w:rsid w:val="00961D8A"/>
    <w:rsid w:val="009805E6"/>
    <w:rsid w:val="00996A51"/>
    <w:rsid w:val="009B69DB"/>
    <w:rsid w:val="009D1938"/>
    <w:rsid w:val="00A312E6"/>
    <w:rsid w:val="00A65F54"/>
    <w:rsid w:val="00AB6C2D"/>
    <w:rsid w:val="00AB71F7"/>
    <w:rsid w:val="00B11C15"/>
    <w:rsid w:val="00B70E4E"/>
    <w:rsid w:val="00BC0B03"/>
    <w:rsid w:val="00BC0F10"/>
    <w:rsid w:val="00BF6BBC"/>
    <w:rsid w:val="00C62260"/>
    <w:rsid w:val="00C71440"/>
    <w:rsid w:val="00CC30A8"/>
    <w:rsid w:val="00CC6499"/>
    <w:rsid w:val="00D071BD"/>
    <w:rsid w:val="00D22E65"/>
    <w:rsid w:val="00D926ED"/>
    <w:rsid w:val="00DA287B"/>
    <w:rsid w:val="00DC4C91"/>
    <w:rsid w:val="00DD1A10"/>
    <w:rsid w:val="00DE0ABD"/>
    <w:rsid w:val="00E0507D"/>
    <w:rsid w:val="00E72274"/>
    <w:rsid w:val="00E9081E"/>
    <w:rsid w:val="00E96CEA"/>
    <w:rsid w:val="00EC03A5"/>
    <w:rsid w:val="00ED29B4"/>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DBB6A-AE37-429E-85ED-BE51D10F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Pamela Del Porto</dc:creator>
  <cp:lastModifiedBy>QMLaptop</cp:lastModifiedBy>
  <cp:revision>3</cp:revision>
  <cp:lastPrinted>2017-03-01T23:42:00Z</cp:lastPrinted>
  <dcterms:created xsi:type="dcterms:W3CDTF">2017-04-10T16:01:00Z</dcterms:created>
  <dcterms:modified xsi:type="dcterms:W3CDTF">2017-04-10T16:03:00Z</dcterms:modified>
</cp:coreProperties>
</file>